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Эксперт-физик по контролю за источниками ионизирующих и неионизирующих излучений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650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(шестьсот пятьдесят)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134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22000 (двадцать две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