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Паллиативная медицина. Организация помощи населению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3500 (три тысячи пятьсот)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